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654B" w:rsidRPr="009D3C1C" w:rsidRDefault="00FA654B" w:rsidP="00E32340">
      <w:pPr>
        <w:jc w:val="center"/>
        <w:rPr>
          <w:rFonts w:ascii="Algerian" w:hAnsi="Algerian"/>
          <w:sz w:val="48"/>
          <w:szCs w:val="44"/>
          <w:u w:val="single"/>
        </w:rPr>
      </w:pPr>
      <w:r w:rsidRPr="009D3C1C">
        <w:rPr>
          <w:rFonts w:ascii="Algerian" w:hAnsi="Algerian"/>
          <w:sz w:val="48"/>
          <w:szCs w:val="44"/>
          <w:u w:val="single"/>
        </w:rPr>
        <w:t xml:space="preserve">Demande de sursis a exécution  </w:t>
      </w:r>
    </w:p>
    <w:p w:rsidR="002948FA" w:rsidRPr="009D3C1C" w:rsidRDefault="00FA654B" w:rsidP="00E32340">
      <w:pPr>
        <w:rPr>
          <w:sz w:val="18"/>
        </w:rPr>
      </w:pPr>
      <w:r w:rsidRPr="009D3C1C">
        <w:rPr>
          <w:sz w:val="28"/>
        </w:rPr>
        <w:tab/>
      </w:r>
      <w:r w:rsidRPr="009D3C1C">
        <w:rPr>
          <w:sz w:val="28"/>
        </w:rPr>
        <w:tab/>
      </w:r>
    </w:p>
    <w:p w:rsidR="00FA654B" w:rsidRPr="009D3C1C" w:rsidRDefault="00FA654B" w:rsidP="00E32340">
      <w:r w:rsidRPr="009D3C1C">
        <w:rPr>
          <w:sz w:val="28"/>
        </w:rPr>
        <w:tab/>
      </w:r>
      <w:r w:rsidRPr="009D3C1C">
        <w:rPr>
          <w:sz w:val="28"/>
        </w:rPr>
        <w:tab/>
      </w:r>
      <w:r w:rsidRPr="009D3C1C">
        <w:rPr>
          <w:sz w:val="28"/>
        </w:rPr>
        <w:tab/>
      </w:r>
      <w:r w:rsidRPr="009D3C1C">
        <w:rPr>
          <w:sz w:val="28"/>
        </w:rPr>
        <w:tab/>
      </w:r>
      <w:r w:rsidRPr="009D3C1C">
        <w:rPr>
          <w:sz w:val="28"/>
        </w:rPr>
        <w:tab/>
      </w:r>
      <w:r w:rsidRPr="009D3C1C">
        <w:rPr>
          <w:sz w:val="28"/>
        </w:rPr>
        <w:tab/>
      </w:r>
      <w:r w:rsidRPr="009D3C1C">
        <w:rPr>
          <w:sz w:val="28"/>
        </w:rPr>
        <w:tab/>
      </w:r>
      <w:r w:rsidRPr="009D3C1C">
        <w:rPr>
          <w:sz w:val="28"/>
        </w:rPr>
        <w:tab/>
      </w:r>
      <w:r w:rsidRPr="009D3C1C">
        <w:rPr>
          <w:sz w:val="28"/>
        </w:rPr>
        <w:tab/>
      </w:r>
      <w:r w:rsidRPr="009D3C1C">
        <w:rPr>
          <w:sz w:val="28"/>
        </w:rPr>
        <w:tab/>
      </w:r>
    </w:p>
    <w:p w:rsidR="00FA654B" w:rsidRPr="00CF60E0" w:rsidRDefault="00FA654B" w:rsidP="00E32340">
      <w:pPr>
        <w:jc w:val="center"/>
        <w:rPr>
          <w:rFonts w:ascii="Algerian" w:hAnsi="Algerian"/>
          <w:sz w:val="32"/>
          <w:szCs w:val="28"/>
          <w:u w:val="single"/>
        </w:rPr>
      </w:pPr>
      <w:r w:rsidRPr="00CF60E0">
        <w:rPr>
          <w:rFonts w:ascii="Algerian" w:hAnsi="Algerian"/>
          <w:sz w:val="32"/>
          <w:szCs w:val="28"/>
          <w:u w:val="single"/>
        </w:rPr>
        <w:t xml:space="preserve">A Monsieur le Président et à Mesdames et Messieurs les Conseillers composant la chambre administrative de </w:t>
      </w:r>
      <w:smartTag w:uri="urn:schemas-microsoft-com:office:smarttags" w:element="PersonName">
        <w:smartTagPr>
          <w:attr w:name="ProductID" w:val="la Cour Supr￪me"/>
        </w:smartTagPr>
        <w:smartTag w:uri="urn:schemas-microsoft-com:office:smarttags" w:element="PersonName">
          <w:smartTagPr>
            <w:attr w:name="ProductID" w:val="la Cour"/>
          </w:smartTagPr>
          <w:r w:rsidRPr="00CF60E0">
            <w:rPr>
              <w:rFonts w:ascii="Algerian" w:hAnsi="Algerian"/>
              <w:sz w:val="32"/>
              <w:szCs w:val="28"/>
              <w:u w:val="single"/>
            </w:rPr>
            <w:t>la Cour</w:t>
          </w:r>
        </w:smartTag>
        <w:r w:rsidRPr="00CF60E0">
          <w:rPr>
            <w:rFonts w:ascii="Algerian" w:hAnsi="Algerian"/>
            <w:sz w:val="32"/>
            <w:szCs w:val="28"/>
            <w:u w:val="single"/>
          </w:rPr>
          <w:t xml:space="preserve"> Suprême</w:t>
        </w:r>
      </w:smartTag>
      <w:r w:rsidRPr="00CF60E0">
        <w:rPr>
          <w:rFonts w:ascii="Algerian" w:hAnsi="Algerian"/>
          <w:sz w:val="32"/>
          <w:szCs w:val="28"/>
          <w:u w:val="single"/>
        </w:rPr>
        <w:t xml:space="preserve"> du Sénégal</w:t>
      </w:r>
    </w:p>
    <w:p w:rsidR="00890DF1" w:rsidRPr="009D3C1C" w:rsidRDefault="00890DF1" w:rsidP="00E32340">
      <w:pPr>
        <w:jc w:val="both"/>
        <w:rPr>
          <w:rFonts w:ascii="Century Gothic" w:hAnsi="Century Gothic"/>
          <w:sz w:val="28"/>
          <w:szCs w:val="26"/>
        </w:rPr>
      </w:pPr>
    </w:p>
    <w:p w:rsidR="00FA654B" w:rsidRPr="009D3C1C" w:rsidRDefault="00FA654B" w:rsidP="00E32340">
      <w:pPr>
        <w:jc w:val="both"/>
        <w:rPr>
          <w:rFonts w:ascii="Century Gothic" w:hAnsi="Century Gothic"/>
          <w:sz w:val="28"/>
          <w:szCs w:val="26"/>
        </w:rPr>
      </w:pPr>
      <w:r w:rsidRPr="009D3C1C">
        <w:rPr>
          <w:rFonts w:ascii="Century Gothic" w:hAnsi="Century Gothic"/>
          <w:sz w:val="28"/>
          <w:szCs w:val="26"/>
        </w:rPr>
        <w:t xml:space="preserve">Le sieur </w:t>
      </w:r>
      <w:r w:rsidRPr="009D3C1C">
        <w:rPr>
          <w:rFonts w:ascii="Century Gothic" w:hAnsi="Century Gothic"/>
          <w:b/>
          <w:sz w:val="28"/>
          <w:szCs w:val="26"/>
        </w:rPr>
        <w:t>Ndiaga SYLLA</w:t>
      </w:r>
      <w:r w:rsidRPr="009D3C1C">
        <w:rPr>
          <w:rFonts w:ascii="Century Gothic" w:hAnsi="Century Gothic"/>
          <w:sz w:val="28"/>
          <w:szCs w:val="26"/>
        </w:rPr>
        <w:t xml:space="preserve">, Citoyen Sénégalais, Electeur, Premier Vice- Président du Parti Alliance Jëf Jël, demeurant à Dakar, Villa 14/B Point E, mais élisant domicile en l’Etude de </w:t>
      </w:r>
      <w:r w:rsidRPr="009D3C1C">
        <w:rPr>
          <w:rFonts w:ascii="Century Gothic" w:hAnsi="Century Gothic"/>
          <w:b/>
          <w:sz w:val="28"/>
          <w:szCs w:val="26"/>
        </w:rPr>
        <w:t>Maître Abdou Dialy KANE</w:t>
      </w:r>
      <w:r w:rsidRPr="009D3C1C">
        <w:rPr>
          <w:rFonts w:ascii="Century Gothic" w:hAnsi="Century Gothic"/>
          <w:sz w:val="28"/>
          <w:szCs w:val="26"/>
        </w:rPr>
        <w:t xml:space="preserve">, Avocat à </w:t>
      </w:r>
      <w:smartTag w:uri="urn:schemas-microsoft-com:office:smarttags" w:element="PersonName">
        <w:smartTagPr>
          <w:attr w:name="ProductID" w:val="la Cour"/>
        </w:smartTagPr>
        <w:r w:rsidRPr="009D3C1C">
          <w:rPr>
            <w:rFonts w:ascii="Century Gothic" w:hAnsi="Century Gothic"/>
            <w:sz w:val="28"/>
            <w:szCs w:val="26"/>
          </w:rPr>
          <w:t>la Cour</w:t>
        </w:r>
      </w:smartTag>
      <w:r w:rsidRPr="009D3C1C">
        <w:rPr>
          <w:rFonts w:ascii="Century Gothic" w:hAnsi="Century Gothic"/>
          <w:sz w:val="28"/>
          <w:szCs w:val="26"/>
        </w:rPr>
        <w:t xml:space="preserve">, 10, Rue de Thiong x Vincent </w:t>
      </w:r>
    </w:p>
    <w:p w:rsidR="00FA654B" w:rsidRPr="009D3C1C" w:rsidRDefault="00FA654B" w:rsidP="00E32340">
      <w:pPr>
        <w:jc w:val="both"/>
        <w:rPr>
          <w:rFonts w:ascii="Century Gothic" w:hAnsi="Century Gothic"/>
          <w:sz w:val="28"/>
          <w:szCs w:val="26"/>
        </w:rPr>
      </w:pPr>
    </w:p>
    <w:p w:rsidR="00FA654B" w:rsidRPr="009D3C1C" w:rsidRDefault="00FA654B" w:rsidP="00E32340">
      <w:pPr>
        <w:jc w:val="both"/>
        <w:rPr>
          <w:rFonts w:ascii="Century Gothic" w:hAnsi="Century Gothic"/>
          <w:sz w:val="28"/>
          <w:szCs w:val="26"/>
        </w:rPr>
      </w:pPr>
      <w:r w:rsidRPr="009D3C1C">
        <w:rPr>
          <w:rFonts w:ascii="Algerian" w:hAnsi="Algerian"/>
          <w:sz w:val="28"/>
          <w:szCs w:val="26"/>
          <w:u w:val="single"/>
        </w:rPr>
        <w:t>A L’HONNEUR DE VOUS EXPOSER</w:t>
      </w:r>
      <w:r w:rsidRPr="009D3C1C">
        <w:rPr>
          <w:rFonts w:ascii="Century Gothic" w:hAnsi="Century Gothic"/>
          <w:sz w:val="28"/>
          <w:szCs w:val="26"/>
        </w:rPr>
        <w:t xml:space="preserve"> : </w:t>
      </w:r>
    </w:p>
    <w:p w:rsidR="00FA654B" w:rsidRPr="009D3C1C" w:rsidRDefault="00FA654B" w:rsidP="00E32340">
      <w:pPr>
        <w:jc w:val="both"/>
        <w:rPr>
          <w:rFonts w:ascii="Century Gothic" w:hAnsi="Century Gothic"/>
          <w:sz w:val="28"/>
          <w:szCs w:val="26"/>
        </w:rPr>
      </w:pPr>
    </w:p>
    <w:p w:rsidR="00FA654B" w:rsidRPr="009D3C1C" w:rsidRDefault="00FA654B" w:rsidP="00E32340">
      <w:pPr>
        <w:jc w:val="both"/>
      </w:pPr>
      <w:r w:rsidRPr="009D3C1C">
        <w:rPr>
          <w:rFonts w:ascii="Century Gothic" w:hAnsi="Century Gothic"/>
          <w:b/>
          <w:sz w:val="28"/>
          <w:szCs w:val="26"/>
        </w:rPr>
        <w:t>Qu</w:t>
      </w:r>
      <w:r w:rsidRPr="009D3C1C">
        <w:rPr>
          <w:rFonts w:ascii="Century Gothic" w:hAnsi="Century Gothic"/>
          <w:sz w:val="28"/>
          <w:szCs w:val="26"/>
        </w:rPr>
        <w:t>’il a effectivement formé, le 18 avril 2014, un recours pour excès de pouvoir contre les décrets n° 2014 – 499, 2014 – 500 et 2014 - 501 en date du 10 Avril 2014, pris par Monsieur le Président de la République du Sénégal et fixant respectivement le nombre de conseillers à élire pour chaque conseil municipal, le nombre de conseillers à désigner pour chaque conseil de ville et le nombre de conseillers à élire pour chaque conseil départemental.</w:t>
      </w:r>
      <w:r w:rsidRPr="009D3C1C">
        <w:t xml:space="preserve"> </w:t>
      </w:r>
    </w:p>
    <w:p w:rsidR="00FA654B" w:rsidRPr="00516281" w:rsidRDefault="00FA654B" w:rsidP="00E32340">
      <w:pPr>
        <w:jc w:val="both"/>
        <w:rPr>
          <w:rFonts w:ascii="Century Gothic" w:hAnsi="Century Gothic"/>
          <w:szCs w:val="26"/>
        </w:rPr>
      </w:pPr>
    </w:p>
    <w:p w:rsidR="00FA654B" w:rsidRPr="009D3C1C" w:rsidRDefault="00FA654B" w:rsidP="00E32340">
      <w:pPr>
        <w:jc w:val="both"/>
        <w:rPr>
          <w:rFonts w:ascii="Century Gothic" w:hAnsi="Century Gothic"/>
          <w:sz w:val="28"/>
          <w:szCs w:val="26"/>
        </w:rPr>
      </w:pPr>
      <w:r w:rsidRPr="009D3C1C">
        <w:rPr>
          <w:rFonts w:ascii="Century Gothic" w:hAnsi="Century Gothic"/>
          <w:b/>
          <w:sz w:val="28"/>
          <w:szCs w:val="26"/>
        </w:rPr>
        <w:t>Que</w:t>
      </w:r>
      <w:r w:rsidRPr="009D3C1C">
        <w:rPr>
          <w:rFonts w:ascii="Century Gothic" w:hAnsi="Century Gothic"/>
          <w:sz w:val="28"/>
          <w:szCs w:val="26"/>
        </w:rPr>
        <w:t xml:space="preserve"> ledit recours a été enregistré sous le numéro J/175/RG/14 au Greffe central de la Cour suprême en date du 18 avril 2014. </w:t>
      </w:r>
    </w:p>
    <w:p w:rsidR="00FA654B" w:rsidRPr="00516281" w:rsidRDefault="00FA654B" w:rsidP="00E32340">
      <w:pPr>
        <w:jc w:val="both"/>
        <w:rPr>
          <w:rFonts w:ascii="Century Gothic" w:hAnsi="Century Gothic"/>
          <w:sz w:val="22"/>
          <w:szCs w:val="26"/>
        </w:rPr>
      </w:pPr>
    </w:p>
    <w:p w:rsidR="00FA654B" w:rsidRPr="009D3C1C" w:rsidRDefault="002E0CD4" w:rsidP="00E32340">
      <w:pPr>
        <w:jc w:val="both"/>
        <w:rPr>
          <w:rFonts w:ascii="Century Gothic" w:hAnsi="Century Gothic"/>
          <w:b/>
          <w:sz w:val="28"/>
          <w:szCs w:val="26"/>
        </w:rPr>
      </w:pPr>
      <w:r w:rsidRPr="009D3C1C">
        <w:rPr>
          <w:rFonts w:ascii="Century Gothic" w:hAnsi="Century Gothic"/>
          <w:b/>
          <w:sz w:val="28"/>
          <w:szCs w:val="26"/>
        </w:rPr>
        <w:t xml:space="preserve">Qu’à présent, </w:t>
      </w:r>
      <w:r w:rsidR="00FA654B" w:rsidRPr="009D3C1C">
        <w:rPr>
          <w:rFonts w:ascii="Century Gothic" w:hAnsi="Century Gothic"/>
          <w:b/>
          <w:sz w:val="28"/>
          <w:szCs w:val="26"/>
        </w:rPr>
        <w:t>le requérant demande expressément à la Cour suprême d’or</w:t>
      </w:r>
      <w:r w:rsidRPr="009D3C1C">
        <w:rPr>
          <w:rFonts w:ascii="Century Gothic" w:hAnsi="Century Gothic"/>
          <w:b/>
          <w:sz w:val="28"/>
          <w:szCs w:val="26"/>
        </w:rPr>
        <w:t>donner le sursis à exécution de</w:t>
      </w:r>
      <w:r w:rsidR="00FA654B" w:rsidRPr="009D3C1C">
        <w:rPr>
          <w:rFonts w:ascii="Century Gothic" w:hAnsi="Century Gothic"/>
          <w:b/>
          <w:sz w:val="28"/>
          <w:szCs w:val="26"/>
        </w:rPr>
        <w:t xml:space="preserve"> ces décrets, leur exécution étant de nature à causer un préjudice irréparable tant aux partis politiques et coalitions de partis politiques, à leurs candidats qu’à l’ensemble des électeurs sénégalais. </w:t>
      </w:r>
    </w:p>
    <w:p w:rsidR="00FA654B" w:rsidRPr="00516281" w:rsidRDefault="00FA654B" w:rsidP="00E32340">
      <w:pPr>
        <w:jc w:val="both"/>
        <w:rPr>
          <w:rFonts w:ascii="Century Gothic" w:hAnsi="Century Gothic"/>
          <w:szCs w:val="26"/>
        </w:rPr>
      </w:pPr>
    </w:p>
    <w:p w:rsidR="00FA654B" w:rsidRPr="009D3C1C" w:rsidRDefault="00FA654B" w:rsidP="00E32340">
      <w:pPr>
        <w:jc w:val="both"/>
        <w:rPr>
          <w:rFonts w:ascii="Century Gothic" w:hAnsi="Century Gothic"/>
          <w:sz w:val="28"/>
          <w:szCs w:val="26"/>
        </w:rPr>
      </w:pPr>
      <w:r w:rsidRPr="009D3C1C">
        <w:rPr>
          <w:rFonts w:ascii="Century Gothic" w:hAnsi="Century Gothic"/>
          <w:b/>
          <w:sz w:val="28"/>
          <w:szCs w:val="26"/>
        </w:rPr>
        <w:t>Que</w:t>
      </w:r>
      <w:r w:rsidRPr="009D3C1C">
        <w:rPr>
          <w:rFonts w:ascii="Century Gothic" w:hAnsi="Century Gothic"/>
          <w:sz w:val="28"/>
          <w:szCs w:val="26"/>
        </w:rPr>
        <w:t xml:space="preserve"> les partis politiques et coalitions de partis politiques vont investir chacun </w:t>
      </w:r>
      <w:r w:rsidR="002E0CD4" w:rsidRPr="009D3C1C">
        <w:rPr>
          <w:rFonts w:ascii="Century Gothic" w:hAnsi="Century Gothic"/>
          <w:sz w:val="28"/>
          <w:szCs w:val="26"/>
        </w:rPr>
        <w:t>près</w:t>
      </w:r>
      <w:r w:rsidRPr="009D3C1C">
        <w:rPr>
          <w:rFonts w:ascii="Century Gothic" w:hAnsi="Century Gothic"/>
          <w:sz w:val="28"/>
          <w:szCs w:val="26"/>
        </w:rPr>
        <w:t xml:space="preserve"> de </w:t>
      </w:r>
      <w:r w:rsidR="000B54DE" w:rsidRPr="009D3C1C">
        <w:rPr>
          <w:rFonts w:ascii="Century Gothic" w:hAnsi="Century Gothic"/>
          <w:sz w:val="28"/>
          <w:szCs w:val="26"/>
        </w:rPr>
        <w:t>vingt-huit</w:t>
      </w:r>
      <w:r w:rsidRPr="009D3C1C">
        <w:rPr>
          <w:rFonts w:ascii="Century Gothic" w:hAnsi="Century Gothic"/>
          <w:sz w:val="28"/>
          <w:szCs w:val="26"/>
        </w:rPr>
        <w:t xml:space="preserve"> mille (28.000) candidats dans l’ensemble des collectivités locales.</w:t>
      </w:r>
    </w:p>
    <w:p w:rsidR="00FA654B" w:rsidRPr="00516281" w:rsidRDefault="00FA654B" w:rsidP="00E32340">
      <w:pPr>
        <w:jc w:val="both"/>
        <w:rPr>
          <w:rFonts w:ascii="Century Gothic" w:hAnsi="Century Gothic"/>
          <w:szCs w:val="26"/>
        </w:rPr>
      </w:pPr>
    </w:p>
    <w:p w:rsidR="00FA654B" w:rsidRPr="009D3C1C" w:rsidRDefault="00FA654B" w:rsidP="00E32340">
      <w:pPr>
        <w:jc w:val="both"/>
        <w:rPr>
          <w:rFonts w:ascii="Century Gothic" w:hAnsi="Century Gothic"/>
          <w:sz w:val="28"/>
          <w:szCs w:val="26"/>
        </w:rPr>
      </w:pPr>
      <w:r w:rsidRPr="009D3C1C">
        <w:rPr>
          <w:rFonts w:ascii="Century Gothic" w:hAnsi="Century Gothic"/>
          <w:b/>
          <w:sz w:val="28"/>
          <w:szCs w:val="26"/>
        </w:rPr>
        <w:t>Que</w:t>
      </w:r>
      <w:r w:rsidRPr="009D3C1C">
        <w:rPr>
          <w:rFonts w:ascii="Century Gothic" w:hAnsi="Century Gothic"/>
          <w:sz w:val="28"/>
          <w:szCs w:val="26"/>
        </w:rPr>
        <w:t xml:space="preserve"> le décret n°2014 – 500 ne soit pas appliqué au motif que la loi qui lui sert de base, les articles L.251 et L.252 du Code électoral ne sont pas conformes à la Constitution.</w:t>
      </w:r>
    </w:p>
    <w:p w:rsidR="002948FA" w:rsidRPr="009D3C1C" w:rsidRDefault="002948FA" w:rsidP="00E32340">
      <w:pPr>
        <w:jc w:val="both"/>
        <w:rPr>
          <w:rFonts w:ascii="Century Gothic" w:hAnsi="Century Gothic"/>
          <w:sz w:val="22"/>
          <w:szCs w:val="26"/>
        </w:rPr>
      </w:pPr>
    </w:p>
    <w:p w:rsidR="00FA654B" w:rsidRPr="009D3C1C" w:rsidRDefault="00FA654B" w:rsidP="00E32340">
      <w:pPr>
        <w:jc w:val="both"/>
        <w:rPr>
          <w:rFonts w:ascii="Century Gothic" w:hAnsi="Century Gothic"/>
          <w:sz w:val="28"/>
          <w:szCs w:val="26"/>
        </w:rPr>
      </w:pPr>
      <w:r w:rsidRPr="009D3C1C">
        <w:rPr>
          <w:rFonts w:ascii="Century Gothic" w:hAnsi="Century Gothic"/>
          <w:b/>
          <w:sz w:val="28"/>
          <w:szCs w:val="26"/>
        </w:rPr>
        <w:lastRenderedPageBreak/>
        <w:t>Que,</w:t>
      </w:r>
      <w:r w:rsidRPr="009D3C1C">
        <w:rPr>
          <w:rFonts w:ascii="Century Gothic" w:hAnsi="Century Gothic"/>
          <w:sz w:val="28"/>
          <w:szCs w:val="26"/>
        </w:rPr>
        <w:t xml:space="preserve"> d’une part, les dispositions de l’article L.251 du nouveau code électoral ne prévoient que les élections des conseillers municipaux des communes constitutives ; d’autre part, que les dispositions de l’article L.</w:t>
      </w:r>
      <w:r w:rsidR="000307D3" w:rsidRPr="009D3C1C">
        <w:rPr>
          <w:rFonts w:ascii="Century Gothic" w:hAnsi="Century Gothic"/>
          <w:sz w:val="28"/>
          <w:szCs w:val="26"/>
        </w:rPr>
        <w:t xml:space="preserve">252 de la loi déférée </w:t>
      </w:r>
      <w:r w:rsidRPr="009D3C1C">
        <w:rPr>
          <w:rFonts w:ascii="Century Gothic" w:hAnsi="Century Gothic"/>
          <w:sz w:val="28"/>
          <w:szCs w:val="26"/>
        </w:rPr>
        <w:t>applique « le systèm</w:t>
      </w:r>
      <w:r w:rsidR="00890DF1" w:rsidRPr="009D3C1C">
        <w:rPr>
          <w:rFonts w:ascii="Century Gothic" w:hAnsi="Century Gothic"/>
          <w:sz w:val="28"/>
          <w:szCs w:val="26"/>
        </w:rPr>
        <w:t>e de quotient local de ville ».</w:t>
      </w:r>
      <w:r w:rsidRPr="009D3C1C">
        <w:rPr>
          <w:rFonts w:ascii="Century Gothic" w:hAnsi="Century Gothic"/>
          <w:sz w:val="28"/>
          <w:szCs w:val="26"/>
        </w:rPr>
        <w:t xml:space="preserve"> </w:t>
      </w:r>
    </w:p>
    <w:p w:rsidR="00FA654B" w:rsidRPr="009D3C1C" w:rsidRDefault="00FA654B" w:rsidP="00E32340">
      <w:pPr>
        <w:jc w:val="both"/>
        <w:rPr>
          <w:rFonts w:ascii="Century Gothic" w:hAnsi="Century Gothic"/>
          <w:sz w:val="22"/>
          <w:szCs w:val="26"/>
        </w:rPr>
      </w:pPr>
    </w:p>
    <w:p w:rsidR="00FA654B" w:rsidRPr="009D3C1C" w:rsidRDefault="00FA654B" w:rsidP="00E32340">
      <w:pPr>
        <w:jc w:val="both"/>
        <w:rPr>
          <w:rFonts w:ascii="Century Gothic" w:hAnsi="Century Gothic"/>
          <w:sz w:val="28"/>
          <w:szCs w:val="26"/>
        </w:rPr>
      </w:pPr>
      <w:r w:rsidRPr="009D3C1C">
        <w:rPr>
          <w:rFonts w:ascii="Century Gothic" w:hAnsi="Century Gothic"/>
          <w:b/>
          <w:sz w:val="28"/>
          <w:szCs w:val="26"/>
        </w:rPr>
        <w:t>Qu</w:t>
      </w:r>
      <w:r w:rsidRPr="009D3C1C">
        <w:rPr>
          <w:rFonts w:ascii="Century Gothic" w:hAnsi="Century Gothic"/>
          <w:sz w:val="28"/>
          <w:szCs w:val="26"/>
        </w:rPr>
        <w:t>’il e</w:t>
      </w:r>
      <w:r w:rsidR="000307D3" w:rsidRPr="009D3C1C">
        <w:rPr>
          <w:rFonts w:ascii="Century Gothic" w:hAnsi="Century Gothic"/>
          <w:sz w:val="28"/>
          <w:szCs w:val="26"/>
        </w:rPr>
        <w:t xml:space="preserve">n résulterait un fort indice de </w:t>
      </w:r>
      <w:r w:rsidRPr="009D3C1C">
        <w:rPr>
          <w:rFonts w:ascii="Century Gothic" w:hAnsi="Century Gothic"/>
          <w:sz w:val="28"/>
          <w:szCs w:val="26"/>
        </w:rPr>
        <w:t>disproportionnalité ; une représentation injuste ; une atteinte à la liberté de choix des électeurs à exerc</w:t>
      </w:r>
      <w:r w:rsidR="00C03741" w:rsidRPr="009D3C1C">
        <w:rPr>
          <w:rFonts w:ascii="Century Gothic" w:hAnsi="Century Gothic"/>
          <w:sz w:val="28"/>
          <w:szCs w:val="26"/>
        </w:rPr>
        <w:t>er leur dro</w:t>
      </w:r>
      <w:r w:rsidR="00890DF1" w:rsidRPr="009D3C1C">
        <w:rPr>
          <w:rFonts w:ascii="Century Gothic" w:hAnsi="Century Gothic"/>
          <w:sz w:val="28"/>
          <w:szCs w:val="26"/>
        </w:rPr>
        <w:t>it de suffrage,</w:t>
      </w:r>
      <w:r w:rsidR="00C03741" w:rsidRPr="009D3C1C">
        <w:rPr>
          <w:rFonts w:ascii="Century Gothic" w:hAnsi="Century Gothic"/>
          <w:sz w:val="28"/>
          <w:szCs w:val="26"/>
        </w:rPr>
        <w:t xml:space="preserve"> </w:t>
      </w:r>
      <w:r w:rsidRPr="009D3C1C">
        <w:rPr>
          <w:rFonts w:ascii="Century Gothic" w:hAnsi="Century Gothic"/>
          <w:sz w:val="28"/>
          <w:szCs w:val="26"/>
        </w:rPr>
        <w:t>au principe</w:t>
      </w:r>
      <w:r w:rsidR="00CE5D82" w:rsidRPr="009D3C1C">
        <w:rPr>
          <w:rFonts w:ascii="Century Gothic" w:hAnsi="Century Gothic"/>
          <w:sz w:val="28"/>
          <w:szCs w:val="26"/>
        </w:rPr>
        <w:t xml:space="preserve"> de</w:t>
      </w:r>
      <w:r w:rsidRPr="009D3C1C">
        <w:rPr>
          <w:rFonts w:ascii="Century Gothic" w:hAnsi="Century Gothic"/>
          <w:sz w:val="28"/>
          <w:szCs w:val="26"/>
        </w:rPr>
        <w:t xml:space="preserve"> pluralisme</w:t>
      </w:r>
      <w:r w:rsidR="00C03741" w:rsidRPr="009D3C1C">
        <w:rPr>
          <w:rFonts w:ascii="Century Gothic" w:hAnsi="Century Gothic"/>
          <w:sz w:val="28"/>
          <w:szCs w:val="26"/>
        </w:rPr>
        <w:t> ;</w:t>
      </w:r>
      <w:r w:rsidRPr="009D3C1C">
        <w:rPr>
          <w:rFonts w:ascii="Century Gothic" w:hAnsi="Century Gothic"/>
          <w:sz w:val="28"/>
          <w:szCs w:val="26"/>
        </w:rPr>
        <w:t xml:space="preserve"> ainsi que l’exclusion des minorités au sein de </w:t>
      </w:r>
      <w:r w:rsidR="00E32340" w:rsidRPr="009D3C1C">
        <w:rPr>
          <w:rFonts w:ascii="Century Gothic" w:hAnsi="Century Gothic"/>
          <w:sz w:val="28"/>
          <w:szCs w:val="26"/>
        </w:rPr>
        <w:t xml:space="preserve">certaines assemblées locales ; </w:t>
      </w:r>
      <w:r w:rsidRPr="009D3C1C">
        <w:rPr>
          <w:rFonts w:ascii="Century Gothic" w:hAnsi="Century Gothic"/>
          <w:sz w:val="28"/>
          <w:szCs w:val="26"/>
        </w:rPr>
        <w:t xml:space="preserve">constituant de fait une menace grave à l’unité et à la cohésion nationale. </w:t>
      </w:r>
    </w:p>
    <w:p w:rsidR="009D3C1C" w:rsidRPr="009D3C1C" w:rsidRDefault="009D3C1C" w:rsidP="00E32340">
      <w:pPr>
        <w:jc w:val="both"/>
        <w:rPr>
          <w:rFonts w:ascii="Century Gothic" w:hAnsi="Century Gothic"/>
          <w:sz w:val="20"/>
          <w:szCs w:val="26"/>
        </w:rPr>
      </w:pPr>
    </w:p>
    <w:p w:rsidR="00FA654B" w:rsidRPr="009D3C1C" w:rsidRDefault="00FA654B" w:rsidP="00E32340">
      <w:pPr>
        <w:jc w:val="both"/>
        <w:rPr>
          <w:rFonts w:ascii="Century Gothic" w:hAnsi="Century Gothic"/>
          <w:sz w:val="28"/>
          <w:szCs w:val="26"/>
        </w:rPr>
      </w:pPr>
      <w:r w:rsidRPr="009D3C1C">
        <w:rPr>
          <w:rFonts w:ascii="Century Gothic" w:hAnsi="Century Gothic"/>
          <w:b/>
          <w:sz w:val="28"/>
          <w:szCs w:val="26"/>
        </w:rPr>
        <w:t>Que</w:t>
      </w:r>
      <w:r w:rsidRPr="009D3C1C">
        <w:rPr>
          <w:rFonts w:ascii="Century Gothic" w:hAnsi="Century Gothic"/>
          <w:sz w:val="28"/>
          <w:szCs w:val="26"/>
        </w:rPr>
        <w:t xml:space="preserve"> les dispositions du </w:t>
      </w:r>
      <w:r w:rsidRPr="009D3C1C">
        <w:rPr>
          <w:rFonts w:ascii="Century Gothic" w:hAnsi="Century Gothic"/>
          <w:b/>
          <w:sz w:val="28"/>
          <w:szCs w:val="26"/>
        </w:rPr>
        <w:t>Protocole A/SP1/12/01</w:t>
      </w:r>
      <w:r w:rsidRPr="009D3C1C">
        <w:rPr>
          <w:rFonts w:ascii="Century Gothic" w:hAnsi="Century Gothic"/>
          <w:sz w:val="28"/>
          <w:szCs w:val="26"/>
        </w:rPr>
        <w:t xml:space="preserve"> de la CEDEAO sur la Démocratie et la Bonne gouvernance additionnel au Protocole relatif au mécanisme de prévention, de gestion, de règlement des conflits, de maintien de la paix et de la sécurité ; notamment en s</w:t>
      </w:r>
      <w:r w:rsidR="00890DF1" w:rsidRPr="009D3C1C">
        <w:rPr>
          <w:rFonts w:ascii="Century Gothic" w:hAnsi="Century Gothic"/>
          <w:sz w:val="28"/>
          <w:szCs w:val="26"/>
        </w:rPr>
        <w:t>on préambule et ses articles premier, 2, 3, 32 et 33</w:t>
      </w:r>
      <w:r w:rsidR="0025707C" w:rsidRPr="009D3C1C">
        <w:rPr>
          <w:rFonts w:ascii="Century Gothic" w:hAnsi="Century Gothic"/>
          <w:sz w:val="28"/>
          <w:szCs w:val="26"/>
        </w:rPr>
        <w:t xml:space="preserve">, </w:t>
      </w:r>
      <w:r w:rsidR="00CE5D82" w:rsidRPr="009D3C1C">
        <w:rPr>
          <w:rFonts w:ascii="Century Gothic" w:hAnsi="Century Gothic"/>
          <w:sz w:val="28"/>
          <w:szCs w:val="26"/>
        </w:rPr>
        <w:t>interdissent</w:t>
      </w:r>
      <w:r w:rsidR="0025707C" w:rsidRPr="009D3C1C">
        <w:rPr>
          <w:rFonts w:ascii="Century Gothic" w:hAnsi="Century Gothic"/>
          <w:sz w:val="28"/>
          <w:szCs w:val="26"/>
        </w:rPr>
        <w:t xml:space="preserve"> tout mode non démocratique d’accession ou de maintien au pouvoir</w:t>
      </w:r>
      <w:r w:rsidR="0080277E" w:rsidRPr="009D3C1C">
        <w:rPr>
          <w:rFonts w:ascii="Century Gothic" w:hAnsi="Century Gothic"/>
          <w:sz w:val="28"/>
          <w:szCs w:val="26"/>
        </w:rPr>
        <w:t xml:space="preserve"> </w:t>
      </w:r>
      <w:r w:rsidR="0025707C" w:rsidRPr="009D3C1C">
        <w:rPr>
          <w:rFonts w:ascii="Century Gothic" w:hAnsi="Century Gothic"/>
          <w:sz w:val="28"/>
          <w:szCs w:val="26"/>
        </w:rPr>
        <w:t xml:space="preserve">et </w:t>
      </w:r>
      <w:r w:rsidR="0080277E" w:rsidRPr="009D3C1C">
        <w:rPr>
          <w:rFonts w:ascii="Century Gothic" w:hAnsi="Century Gothic"/>
          <w:sz w:val="28"/>
          <w:szCs w:val="26"/>
        </w:rPr>
        <w:t>proclame</w:t>
      </w:r>
      <w:r w:rsidR="00CE5D82" w:rsidRPr="009D3C1C">
        <w:rPr>
          <w:rFonts w:ascii="Century Gothic" w:hAnsi="Century Gothic"/>
          <w:sz w:val="28"/>
          <w:szCs w:val="26"/>
        </w:rPr>
        <w:t>nt</w:t>
      </w:r>
      <w:r w:rsidR="0080277E" w:rsidRPr="009D3C1C">
        <w:rPr>
          <w:rFonts w:ascii="Century Gothic" w:hAnsi="Century Gothic"/>
          <w:sz w:val="28"/>
          <w:szCs w:val="26"/>
        </w:rPr>
        <w:t xml:space="preserve"> la sauvegarde de la stabilité politique, la consolidation de l’</w:t>
      </w:r>
      <w:r w:rsidR="0025707C" w:rsidRPr="009D3C1C">
        <w:rPr>
          <w:rFonts w:ascii="Century Gothic" w:hAnsi="Century Gothic"/>
          <w:sz w:val="28"/>
          <w:szCs w:val="26"/>
        </w:rPr>
        <w:t xml:space="preserve">Etat de droit, </w:t>
      </w:r>
      <w:r w:rsidR="0080277E" w:rsidRPr="009D3C1C">
        <w:rPr>
          <w:rFonts w:ascii="Century Gothic" w:hAnsi="Century Gothic"/>
          <w:sz w:val="28"/>
          <w:szCs w:val="26"/>
        </w:rPr>
        <w:t xml:space="preserve">le renforcement de la </w:t>
      </w:r>
      <w:r w:rsidR="0025707C" w:rsidRPr="009D3C1C">
        <w:rPr>
          <w:rFonts w:ascii="Century Gothic" w:hAnsi="Century Gothic"/>
          <w:sz w:val="28"/>
          <w:szCs w:val="26"/>
        </w:rPr>
        <w:t>démocratie…</w:t>
      </w:r>
    </w:p>
    <w:p w:rsidR="00FA654B" w:rsidRPr="009D3C1C" w:rsidRDefault="00FA654B" w:rsidP="00E32340">
      <w:pPr>
        <w:jc w:val="both"/>
        <w:rPr>
          <w:rFonts w:ascii="Century Gothic" w:hAnsi="Century Gothic"/>
          <w:sz w:val="22"/>
          <w:szCs w:val="26"/>
        </w:rPr>
      </w:pPr>
    </w:p>
    <w:p w:rsidR="00FA654B" w:rsidRPr="009D3C1C" w:rsidRDefault="009D3C1C" w:rsidP="009D3C1C">
      <w:pPr>
        <w:jc w:val="both"/>
        <w:rPr>
          <w:rFonts w:ascii="Century Gothic" w:hAnsi="Century Gothic"/>
          <w:sz w:val="28"/>
        </w:rPr>
      </w:pPr>
      <w:r w:rsidRPr="009D3C1C">
        <w:rPr>
          <w:rFonts w:ascii="Century Gothic" w:hAnsi="Century Gothic"/>
          <w:b/>
          <w:sz w:val="28"/>
        </w:rPr>
        <w:t>Que</w:t>
      </w:r>
      <w:r w:rsidRPr="009D3C1C">
        <w:rPr>
          <w:rFonts w:ascii="Century Gothic" w:hAnsi="Century Gothic"/>
          <w:sz w:val="28"/>
        </w:rPr>
        <w:t xml:space="preserve"> </w:t>
      </w:r>
      <w:r w:rsidRPr="009D3C1C">
        <w:rPr>
          <w:rFonts w:ascii="Century Gothic" w:hAnsi="Century Gothic"/>
          <w:b/>
          <w:sz w:val="28"/>
        </w:rPr>
        <w:t>l’Arrêt</w:t>
      </w:r>
      <w:r w:rsidRPr="009D3C1C">
        <w:rPr>
          <w:rStyle w:val="apple-converted-space"/>
          <w:rFonts w:ascii="Arial" w:hAnsi="Arial" w:cs="Arial"/>
          <w:b/>
          <w:sz w:val="28"/>
          <w:shd w:val="clear" w:color="auto" w:fill="FFFFFF"/>
        </w:rPr>
        <w:t> </w:t>
      </w:r>
      <w:r w:rsidRPr="009D3C1C">
        <w:rPr>
          <w:rFonts w:ascii="Century Gothic" w:hAnsi="Century Gothic"/>
          <w:b/>
          <w:sz w:val="28"/>
        </w:rPr>
        <w:t>pris par Conseil d'Etat en son audience du 12 janvier 2007 annulant le décret n°2006-1350</w:t>
      </w:r>
      <w:r w:rsidRPr="009D3C1C">
        <w:rPr>
          <w:rFonts w:ascii="Century Gothic" w:hAnsi="Century Gothic"/>
          <w:sz w:val="28"/>
        </w:rPr>
        <w:t xml:space="preserve"> portant répartition des sièges des députés à élire au scrutin  majoritaire département pour les élections législatives du 25 février 2007 ; </w:t>
      </w:r>
      <w:r w:rsidR="002E0CD4" w:rsidRPr="009D3C1C">
        <w:rPr>
          <w:rFonts w:ascii="Century Gothic" w:hAnsi="Century Gothic"/>
          <w:sz w:val="28"/>
        </w:rPr>
        <w:t>motif</w:t>
      </w:r>
      <w:r w:rsidR="00FA654B" w:rsidRPr="009D3C1C">
        <w:rPr>
          <w:rFonts w:ascii="Century Gothic" w:hAnsi="Century Gothic"/>
          <w:sz w:val="28"/>
        </w:rPr>
        <w:t xml:space="preserve"> pris de ce que le nombre de sièges de</w:t>
      </w:r>
      <w:r w:rsidR="002E0CD4" w:rsidRPr="009D3C1C">
        <w:rPr>
          <w:rFonts w:ascii="Century Gothic" w:hAnsi="Century Gothic"/>
          <w:sz w:val="28"/>
        </w:rPr>
        <w:t>s</w:t>
      </w:r>
      <w:r w:rsidR="00FA654B" w:rsidRPr="009D3C1C">
        <w:rPr>
          <w:rFonts w:ascii="Century Gothic" w:hAnsi="Century Gothic"/>
          <w:sz w:val="28"/>
        </w:rPr>
        <w:t xml:space="preserve"> député</w:t>
      </w:r>
      <w:r w:rsidR="002E0CD4" w:rsidRPr="009D3C1C">
        <w:rPr>
          <w:rFonts w:ascii="Century Gothic" w:hAnsi="Century Gothic"/>
          <w:sz w:val="28"/>
        </w:rPr>
        <w:t>s</w:t>
      </w:r>
      <w:r w:rsidR="00FA654B" w:rsidRPr="009D3C1C">
        <w:rPr>
          <w:rFonts w:ascii="Century Gothic" w:hAnsi="Century Gothic"/>
          <w:sz w:val="28"/>
        </w:rPr>
        <w:t xml:space="preserve"> à élire dans les départem</w:t>
      </w:r>
      <w:r w:rsidR="002E0CD4" w:rsidRPr="009D3C1C">
        <w:rPr>
          <w:rFonts w:ascii="Century Gothic" w:hAnsi="Century Gothic"/>
          <w:sz w:val="28"/>
        </w:rPr>
        <w:t>ents n’était pas proportionnel</w:t>
      </w:r>
      <w:r w:rsidR="00FA654B" w:rsidRPr="009D3C1C">
        <w:rPr>
          <w:rFonts w:ascii="Century Gothic" w:hAnsi="Century Gothic"/>
          <w:sz w:val="28"/>
        </w:rPr>
        <w:t xml:space="preserve"> à la population.</w:t>
      </w:r>
    </w:p>
    <w:p w:rsidR="002E0CD4" w:rsidRPr="009D3C1C" w:rsidRDefault="002E0CD4" w:rsidP="00E32340">
      <w:pPr>
        <w:jc w:val="both"/>
        <w:rPr>
          <w:rFonts w:ascii="Century Gothic" w:hAnsi="Century Gothic"/>
          <w:sz w:val="22"/>
          <w:szCs w:val="26"/>
        </w:rPr>
      </w:pPr>
    </w:p>
    <w:p w:rsidR="005B691A" w:rsidRPr="009D3C1C" w:rsidRDefault="005B691A" w:rsidP="00E32340">
      <w:pPr>
        <w:jc w:val="both"/>
        <w:rPr>
          <w:rFonts w:ascii="Century Gothic" w:hAnsi="Century Gothic"/>
          <w:sz w:val="28"/>
          <w:szCs w:val="26"/>
        </w:rPr>
      </w:pPr>
      <w:r w:rsidRPr="009D3C1C">
        <w:rPr>
          <w:rFonts w:ascii="Century Gothic" w:hAnsi="Century Gothic"/>
          <w:b/>
          <w:sz w:val="28"/>
          <w:szCs w:val="26"/>
        </w:rPr>
        <w:t>Que des dépenses énormes</w:t>
      </w:r>
      <w:r w:rsidRPr="009D3C1C">
        <w:rPr>
          <w:rFonts w:ascii="Century Gothic" w:hAnsi="Century Gothic"/>
          <w:sz w:val="28"/>
          <w:szCs w:val="26"/>
        </w:rPr>
        <w:t xml:space="preserve"> seront engagées par les partis politiques et leurs candidats pour la confection des dossiers de candidatures et le</w:t>
      </w:r>
      <w:r w:rsidR="00CB49C0" w:rsidRPr="009D3C1C">
        <w:rPr>
          <w:rFonts w:ascii="Century Gothic" w:hAnsi="Century Gothic"/>
          <w:sz w:val="28"/>
          <w:szCs w:val="26"/>
        </w:rPr>
        <w:t>s</w:t>
      </w:r>
      <w:r w:rsidRPr="009D3C1C">
        <w:rPr>
          <w:rFonts w:ascii="Century Gothic" w:hAnsi="Century Gothic"/>
          <w:sz w:val="28"/>
          <w:szCs w:val="26"/>
        </w:rPr>
        <w:t xml:space="preserve"> frais de campagne électoral</w:t>
      </w:r>
      <w:r w:rsidR="00CB49C0" w:rsidRPr="009D3C1C">
        <w:rPr>
          <w:rFonts w:ascii="Century Gothic" w:hAnsi="Century Gothic"/>
          <w:sz w:val="28"/>
          <w:szCs w:val="26"/>
        </w:rPr>
        <w:t>e</w:t>
      </w:r>
      <w:r w:rsidRPr="009D3C1C">
        <w:rPr>
          <w:rFonts w:ascii="Century Gothic" w:hAnsi="Century Gothic"/>
          <w:sz w:val="28"/>
          <w:szCs w:val="26"/>
        </w:rPr>
        <w:t xml:space="preserve">. </w:t>
      </w:r>
    </w:p>
    <w:p w:rsidR="005B691A" w:rsidRPr="009D3C1C" w:rsidRDefault="005B691A" w:rsidP="00E32340">
      <w:pPr>
        <w:jc w:val="both"/>
        <w:rPr>
          <w:rFonts w:ascii="Century Gothic" w:hAnsi="Century Gothic"/>
          <w:sz w:val="22"/>
          <w:szCs w:val="26"/>
        </w:rPr>
      </w:pPr>
    </w:p>
    <w:p w:rsidR="005B691A" w:rsidRPr="009D3C1C" w:rsidRDefault="005B691A" w:rsidP="00E32340">
      <w:pPr>
        <w:jc w:val="both"/>
        <w:rPr>
          <w:rFonts w:ascii="Century Gothic" w:hAnsi="Century Gothic"/>
          <w:sz w:val="28"/>
          <w:szCs w:val="26"/>
        </w:rPr>
      </w:pPr>
      <w:r w:rsidRPr="009D3C1C">
        <w:rPr>
          <w:rFonts w:ascii="Century Gothic" w:hAnsi="Century Gothic"/>
          <w:b/>
          <w:sz w:val="28"/>
          <w:szCs w:val="26"/>
        </w:rPr>
        <w:t>Que</w:t>
      </w:r>
      <w:r w:rsidRPr="009D3C1C">
        <w:rPr>
          <w:rFonts w:ascii="Century Gothic" w:hAnsi="Century Gothic"/>
          <w:sz w:val="28"/>
          <w:szCs w:val="26"/>
        </w:rPr>
        <w:t xml:space="preserve"> l’Etat du Sénégal prendra en charge les dépenses liées à l’organisation des élections notamment l’impression des bulletins de vote et des documents de propagande ainsi que tout le matériel électoral prévus par le code électoral</w:t>
      </w:r>
      <w:r w:rsidR="00890DF1" w:rsidRPr="009D3C1C">
        <w:rPr>
          <w:rFonts w:ascii="Century Gothic" w:hAnsi="Century Gothic"/>
          <w:sz w:val="28"/>
          <w:szCs w:val="26"/>
        </w:rPr>
        <w:t>.</w:t>
      </w:r>
      <w:r w:rsidRPr="009D3C1C">
        <w:rPr>
          <w:rFonts w:ascii="Century Gothic" w:hAnsi="Century Gothic"/>
          <w:sz w:val="28"/>
          <w:szCs w:val="26"/>
        </w:rPr>
        <w:t xml:space="preserve"> </w:t>
      </w:r>
    </w:p>
    <w:p w:rsidR="005B691A" w:rsidRPr="009D3C1C" w:rsidRDefault="005B691A" w:rsidP="00E32340">
      <w:pPr>
        <w:jc w:val="both"/>
        <w:rPr>
          <w:rFonts w:ascii="Century Gothic" w:hAnsi="Century Gothic"/>
          <w:sz w:val="22"/>
          <w:szCs w:val="26"/>
        </w:rPr>
      </w:pPr>
    </w:p>
    <w:p w:rsidR="005B691A" w:rsidRPr="009D3C1C" w:rsidRDefault="005B691A" w:rsidP="00E32340">
      <w:pPr>
        <w:jc w:val="both"/>
        <w:rPr>
          <w:rFonts w:ascii="Century Gothic" w:hAnsi="Century Gothic"/>
          <w:sz w:val="28"/>
          <w:szCs w:val="26"/>
        </w:rPr>
      </w:pPr>
      <w:r w:rsidRPr="009D3C1C">
        <w:rPr>
          <w:rFonts w:ascii="Century Gothic" w:hAnsi="Century Gothic"/>
          <w:b/>
          <w:sz w:val="28"/>
          <w:szCs w:val="26"/>
        </w:rPr>
        <w:t>Que l’impression des bulletins</w:t>
      </w:r>
      <w:r w:rsidRPr="009D3C1C">
        <w:rPr>
          <w:rFonts w:ascii="Century Gothic" w:hAnsi="Century Gothic"/>
          <w:sz w:val="28"/>
          <w:szCs w:val="26"/>
        </w:rPr>
        <w:t xml:space="preserve"> de vote sera engagée à la suite de la publication à titre exceptionnel</w:t>
      </w:r>
      <w:r w:rsidR="00850F90" w:rsidRPr="009D3C1C">
        <w:rPr>
          <w:rFonts w:ascii="Century Gothic" w:hAnsi="Century Gothic"/>
          <w:sz w:val="28"/>
          <w:szCs w:val="26"/>
        </w:rPr>
        <w:t>,</w:t>
      </w:r>
      <w:r w:rsidRPr="009D3C1C">
        <w:rPr>
          <w:rFonts w:ascii="Century Gothic" w:hAnsi="Century Gothic"/>
          <w:sz w:val="28"/>
          <w:szCs w:val="26"/>
        </w:rPr>
        <w:t xml:space="preserve"> au plus tard cinquante-trois (53) jours</w:t>
      </w:r>
      <w:r w:rsidR="00850F90" w:rsidRPr="009D3C1C">
        <w:rPr>
          <w:rFonts w:ascii="Century Gothic" w:hAnsi="Century Gothic"/>
          <w:sz w:val="28"/>
          <w:szCs w:val="26"/>
        </w:rPr>
        <w:t>,</w:t>
      </w:r>
      <w:r w:rsidRPr="009D3C1C">
        <w:rPr>
          <w:rFonts w:ascii="Century Gothic" w:hAnsi="Century Gothic"/>
          <w:sz w:val="28"/>
          <w:szCs w:val="26"/>
        </w:rPr>
        <w:t xml:space="preserve"> des déclarations de candidatures. </w:t>
      </w:r>
    </w:p>
    <w:p w:rsidR="005B691A" w:rsidRPr="009D3C1C" w:rsidRDefault="005B691A" w:rsidP="00E32340">
      <w:pPr>
        <w:jc w:val="both"/>
        <w:rPr>
          <w:rFonts w:ascii="Century Gothic" w:hAnsi="Century Gothic"/>
          <w:sz w:val="22"/>
          <w:szCs w:val="26"/>
        </w:rPr>
      </w:pPr>
    </w:p>
    <w:p w:rsidR="005B691A" w:rsidRPr="009D3C1C" w:rsidRDefault="005B691A" w:rsidP="00E32340">
      <w:pPr>
        <w:jc w:val="both"/>
        <w:rPr>
          <w:rFonts w:ascii="Century Gothic" w:hAnsi="Century Gothic"/>
          <w:sz w:val="28"/>
          <w:szCs w:val="26"/>
        </w:rPr>
      </w:pPr>
      <w:r w:rsidRPr="009D3C1C">
        <w:rPr>
          <w:rFonts w:ascii="Century Gothic" w:hAnsi="Century Gothic"/>
          <w:b/>
          <w:sz w:val="28"/>
          <w:szCs w:val="26"/>
        </w:rPr>
        <w:t>Que des dépenses énormes seront</w:t>
      </w:r>
      <w:r w:rsidRPr="009D3C1C">
        <w:rPr>
          <w:rFonts w:ascii="Century Gothic" w:hAnsi="Century Gothic"/>
          <w:sz w:val="28"/>
          <w:szCs w:val="26"/>
        </w:rPr>
        <w:t xml:space="preserve"> consenties par l’Etat, les partis politiques et les candidats le jour du scrutin tant pour le fonctionnement des bureaux de vote, la supervision des opérations électorales, la collecte des résultats des élections, </w:t>
      </w:r>
      <w:r w:rsidR="00CB49C0" w:rsidRPr="009D3C1C">
        <w:rPr>
          <w:rFonts w:ascii="Century Gothic" w:hAnsi="Century Gothic"/>
          <w:sz w:val="28"/>
          <w:szCs w:val="26"/>
        </w:rPr>
        <w:t xml:space="preserve">ainsi </w:t>
      </w:r>
      <w:r w:rsidRPr="009D3C1C">
        <w:rPr>
          <w:rFonts w:ascii="Century Gothic" w:hAnsi="Century Gothic"/>
          <w:sz w:val="28"/>
          <w:szCs w:val="26"/>
        </w:rPr>
        <w:t>que pour le recensement des votes.</w:t>
      </w:r>
    </w:p>
    <w:p w:rsidR="005B691A" w:rsidRPr="009D3C1C" w:rsidRDefault="005B691A" w:rsidP="00E32340">
      <w:pPr>
        <w:jc w:val="both"/>
        <w:rPr>
          <w:rFonts w:ascii="Century Gothic" w:hAnsi="Century Gothic"/>
          <w:sz w:val="22"/>
          <w:szCs w:val="26"/>
        </w:rPr>
      </w:pPr>
    </w:p>
    <w:p w:rsidR="005B691A" w:rsidRPr="009D3C1C" w:rsidRDefault="005B691A" w:rsidP="00E32340">
      <w:pPr>
        <w:jc w:val="both"/>
        <w:rPr>
          <w:rFonts w:ascii="Century Gothic" w:hAnsi="Century Gothic"/>
          <w:sz w:val="28"/>
          <w:szCs w:val="26"/>
        </w:rPr>
      </w:pPr>
      <w:r w:rsidRPr="009D3C1C">
        <w:rPr>
          <w:rFonts w:ascii="Century Gothic" w:hAnsi="Century Gothic"/>
          <w:sz w:val="28"/>
          <w:szCs w:val="26"/>
        </w:rPr>
        <w:t>Tout cela représentera un coup financier énorme estimé à plusieurs milliards de francs à supporter par le contribuable sénégalais, les partis politiques et leurs candidats, y compris le nôtre, l’Alliance Jëf Jëf.</w:t>
      </w:r>
    </w:p>
    <w:p w:rsidR="005B691A" w:rsidRPr="009D3C1C" w:rsidRDefault="005B691A" w:rsidP="00E32340">
      <w:pPr>
        <w:jc w:val="both"/>
        <w:rPr>
          <w:rFonts w:ascii="Century Gothic" w:hAnsi="Century Gothic"/>
          <w:sz w:val="22"/>
          <w:szCs w:val="26"/>
        </w:rPr>
      </w:pPr>
    </w:p>
    <w:p w:rsidR="005B691A" w:rsidRPr="009D3C1C" w:rsidRDefault="005B691A" w:rsidP="00E32340">
      <w:pPr>
        <w:jc w:val="both"/>
        <w:rPr>
          <w:rFonts w:ascii="Century Gothic" w:hAnsi="Century Gothic"/>
          <w:sz w:val="28"/>
          <w:szCs w:val="26"/>
        </w:rPr>
      </w:pPr>
      <w:r w:rsidRPr="009D3C1C">
        <w:rPr>
          <w:rFonts w:ascii="Century Gothic" w:hAnsi="Century Gothic"/>
          <w:b/>
          <w:sz w:val="28"/>
          <w:szCs w:val="26"/>
        </w:rPr>
        <w:t>Que cinq millions d’électeurs</w:t>
      </w:r>
      <w:r w:rsidRPr="009D3C1C">
        <w:rPr>
          <w:rFonts w:ascii="Century Gothic" w:hAnsi="Century Gothic"/>
          <w:sz w:val="28"/>
          <w:szCs w:val="26"/>
        </w:rPr>
        <w:t xml:space="preserve"> seront mobilisés pour élire des candidats aux conseils municipaux et départementaux.</w:t>
      </w:r>
    </w:p>
    <w:p w:rsidR="005B691A" w:rsidRPr="009D3C1C" w:rsidRDefault="005B691A" w:rsidP="00E32340">
      <w:pPr>
        <w:jc w:val="both"/>
        <w:rPr>
          <w:rFonts w:ascii="Century Gothic" w:hAnsi="Century Gothic"/>
          <w:sz w:val="22"/>
          <w:szCs w:val="26"/>
        </w:rPr>
      </w:pPr>
    </w:p>
    <w:p w:rsidR="00FA654B" w:rsidRPr="009D3C1C" w:rsidRDefault="00FA654B" w:rsidP="00E32340">
      <w:pPr>
        <w:jc w:val="both"/>
        <w:rPr>
          <w:rFonts w:ascii="Century Gothic" w:hAnsi="Century Gothic"/>
          <w:b/>
          <w:sz w:val="28"/>
          <w:szCs w:val="26"/>
        </w:rPr>
      </w:pPr>
      <w:r w:rsidRPr="009D3C1C">
        <w:rPr>
          <w:rFonts w:ascii="Century Gothic" w:hAnsi="Century Gothic"/>
          <w:b/>
          <w:sz w:val="28"/>
          <w:szCs w:val="26"/>
        </w:rPr>
        <w:t xml:space="preserve">Attendu que </w:t>
      </w:r>
      <w:r w:rsidR="00CB49C0" w:rsidRPr="009D3C1C">
        <w:rPr>
          <w:rFonts w:ascii="Century Gothic" w:hAnsi="Century Gothic"/>
          <w:b/>
          <w:sz w:val="28"/>
          <w:szCs w:val="26"/>
        </w:rPr>
        <w:t>l’arrêt précité</w:t>
      </w:r>
      <w:r w:rsidRPr="009D3C1C">
        <w:rPr>
          <w:rFonts w:ascii="Century Gothic" w:hAnsi="Century Gothic"/>
          <w:b/>
          <w:sz w:val="28"/>
          <w:szCs w:val="26"/>
        </w:rPr>
        <w:t xml:space="preserve"> avait provoqué, après le dépôt des listes de candidats, le report des élections légi</w:t>
      </w:r>
      <w:r w:rsidR="00CE5D82" w:rsidRPr="009D3C1C">
        <w:rPr>
          <w:rFonts w:ascii="Century Gothic" w:hAnsi="Century Gothic"/>
          <w:b/>
          <w:sz w:val="28"/>
          <w:szCs w:val="26"/>
        </w:rPr>
        <w:t>slatives initialement prévues le 25</w:t>
      </w:r>
      <w:r w:rsidRPr="009D3C1C">
        <w:rPr>
          <w:rFonts w:ascii="Century Gothic" w:hAnsi="Century Gothic"/>
          <w:b/>
          <w:sz w:val="28"/>
          <w:szCs w:val="26"/>
        </w:rPr>
        <w:t xml:space="preserve"> février 2007. </w:t>
      </w:r>
    </w:p>
    <w:p w:rsidR="00FA654B" w:rsidRPr="009D3C1C" w:rsidRDefault="00FA654B" w:rsidP="00E32340">
      <w:pPr>
        <w:jc w:val="both"/>
        <w:rPr>
          <w:rFonts w:ascii="Century Gothic" w:hAnsi="Century Gothic"/>
          <w:sz w:val="22"/>
          <w:szCs w:val="26"/>
        </w:rPr>
      </w:pPr>
    </w:p>
    <w:p w:rsidR="00FA654B" w:rsidRPr="009D3C1C" w:rsidRDefault="00FA654B" w:rsidP="00E32340">
      <w:pPr>
        <w:jc w:val="both"/>
        <w:rPr>
          <w:rFonts w:ascii="Century Gothic" w:hAnsi="Century Gothic"/>
          <w:sz w:val="28"/>
          <w:szCs w:val="26"/>
        </w:rPr>
      </w:pPr>
      <w:r w:rsidRPr="009D3C1C">
        <w:rPr>
          <w:rFonts w:ascii="Century Gothic" w:hAnsi="Century Gothic"/>
          <w:b/>
          <w:sz w:val="28"/>
          <w:szCs w:val="26"/>
        </w:rPr>
        <w:t>Que</w:t>
      </w:r>
      <w:r w:rsidRPr="009D3C1C">
        <w:rPr>
          <w:rFonts w:ascii="Century Gothic" w:hAnsi="Century Gothic"/>
          <w:sz w:val="28"/>
          <w:szCs w:val="26"/>
        </w:rPr>
        <w:t xml:space="preserve"> les</w:t>
      </w:r>
      <w:r w:rsidR="00CB49C0" w:rsidRPr="009D3C1C">
        <w:rPr>
          <w:rFonts w:ascii="Century Gothic" w:hAnsi="Century Gothic"/>
          <w:sz w:val="28"/>
          <w:szCs w:val="26"/>
        </w:rPr>
        <w:t xml:space="preserve"> griefs soulevés contre les décrets</w:t>
      </w:r>
      <w:bookmarkStart w:id="0" w:name="_GoBack"/>
      <w:bookmarkEnd w:id="0"/>
      <w:r w:rsidR="00CB49C0" w:rsidRPr="009D3C1C">
        <w:rPr>
          <w:rFonts w:ascii="Century Gothic" w:hAnsi="Century Gothic"/>
          <w:sz w:val="28"/>
          <w:szCs w:val="26"/>
        </w:rPr>
        <w:t xml:space="preserve"> attaqués</w:t>
      </w:r>
      <w:r w:rsidRPr="009D3C1C">
        <w:rPr>
          <w:rFonts w:ascii="Century Gothic" w:hAnsi="Century Gothic"/>
          <w:sz w:val="28"/>
          <w:szCs w:val="26"/>
        </w:rPr>
        <w:t xml:space="preserve"> rendront non conformes les déclarations de candidatures à déposer dans le cadre des élections départementales et municipales.</w:t>
      </w:r>
    </w:p>
    <w:p w:rsidR="00FA654B" w:rsidRPr="009D3C1C" w:rsidRDefault="00FA654B" w:rsidP="00E32340">
      <w:pPr>
        <w:jc w:val="both"/>
        <w:rPr>
          <w:rFonts w:ascii="Century Gothic" w:hAnsi="Century Gothic"/>
          <w:sz w:val="22"/>
          <w:szCs w:val="26"/>
        </w:rPr>
      </w:pPr>
    </w:p>
    <w:p w:rsidR="00FA654B" w:rsidRPr="009D3C1C" w:rsidRDefault="00FA654B" w:rsidP="00E32340">
      <w:pPr>
        <w:jc w:val="both"/>
        <w:rPr>
          <w:rFonts w:ascii="Century Gothic" w:hAnsi="Century Gothic"/>
          <w:b/>
          <w:sz w:val="28"/>
          <w:szCs w:val="26"/>
        </w:rPr>
      </w:pPr>
      <w:r w:rsidRPr="009D3C1C">
        <w:rPr>
          <w:rFonts w:ascii="Century Gothic" w:hAnsi="Century Gothic"/>
          <w:b/>
          <w:sz w:val="28"/>
          <w:szCs w:val="26"/>
        </w:rPr>
        <w:t>Qu’il convient dès lors d’ordonner le sursis à exécution des décrets attaqués.</w:t>
      </w:r>
    </w:p>
    <w:p w:rsidR="00FA654B" w:rsidRPr="009D3C1C" w:rsidRDefault="00FA654B" w:rsidP="00E32340">
      <w:pPr>
        <w:jc w:val="both"/>
        <w:rPr>
          <w:rFonts w:ascii="Century Gothic" w:hAnsi="Century Gothic"/>
          <w:sz w:val="22"/>
          <w:szCs w:val="26"/>
        </w:rPr>
      </w:pPr>
    </w:p>
    <w:p w:rsidR="002E0CD4" w:rsidRPr="009D3C1C" w:rsidRDefault="002E0CD4" w:rsidP="00E32340">
      <w:pPr>
        <w:jc w:val="right"/>
        <w:rPr>
          <w:rFonts w:ascii="Century Gothic" w:hAnsi="Century Gothic"/>
          <w:b/>
          <w:sz w:val="8"/>
          <w:szCs w:val="26"/>
        </w:rPr>
      </w:pPr>
    </w:p>
    <w:p w:rsidR="00FA654B" w:rsidRDefault="002E0CD4" w:rsidP="00E32340">
      <w:pPr>
        <w:jc w:val="right"/>
        <w:rPr>
          <w:rFonts w:ascii="Century Gothic" w:hAnsi="Century Gothic"/>
          <w:b/>
          <w:sz w:val="28"/>
          <w:szCs w:val="26"/>
        </w:rPr>
      </w:pPr>
      <w:r w:rsidRPr="009D3C1C">
        <w:rPr>
          <w:rFonts w:ascii="Century Gothic" w:hAnsi="Century Gothic"/>
          <w:b/>
          <w:sz w:val="28"/>
          <w:szCs w:val="26"/>
        </w:rPr>
        <w:t>SOUS TOUTES RESERVES</w:t>
      </w:r>
    </w:p>
    <w:p w:rsidR="009D3C1C" w:rsidRPr="009D3C1C" w:rsidRDefault="009D3C1C" w:rsidP="00E32340">
      <w:pPr>
        <w:jc w:val="right"/>
        <w:rPr>
          <w:rFonts w:ascii="Century Gothic" w:hAnsi="Century Gothic"/>
          <w:b/>
          <w:sz w:val="20"/>
          <w:szCs w:val="26"/>
        </w:rPr>
      </w:pPr>
    </w:p>
    <w:p w:rsidR="00E32340" w:rsidRDefault="002E0CD4" w:rsidP="009D3C1C">
      <w:pPr>
        <w:jc w:val="right"/>
        <w:rPr>
          <w:rFonts w:ascii="Century Gothic" w:hAnsi="Century Gothic"/>
          <w:b/>
          <w:sz w:val="28"/>
          <w:szCs w:val="26"/>
        </w:rPr>
      </w:pPr>
      <w:r w:rsidRPr="009D3C1C">
        <w:rPr>
          <w:rFonts w:ascii="Century Gothic" w:hAnsi="Century Gothic"/>
          <w:b/>
          <w:sz w:val="28"/>
          <w:szCs w:val="26"/>
        </w:rPr>
        <w:t>POUR REQUET</w:t>
      </w:r>
      <w:r w:rsidR="009D3C1C" w:rsidRPr="009D3C1C">
        <w:rPr>
          <w:rFonts w:ascii="Century Gothic" w:hAnsi="Century Gothic"/>
          <w:b/>
          <w:sz w:val="28"/>
          <w:szCs w:val="26"/>
        </w:rPr>
        <w:t>E</w:t>
      </w:r>
    </w:p>
    <w:p w:rsidR="009D3C1C" w:rsidRPr="009D3C1C" w:rsidRDefault="009D3C1C" w:rsidP="009D3C1C">
      <w:pPr>
        <w:jc w:val="right"/>
        <w:rPr>
          <w:rFonts w:ascii="Century Gothic" w:hAnsi="Century Gothic"/>
          <w:b/>
          <w:sz w:val="22"/>
          <w:szCs w:val="26"/>
        </w:rPr>
      </w:pPr>
    </w:p>
    <w:p w:rsidR="002F16B3" w:rsidRDefault="002E0CD4" w:rsidP="00E32340">
      <w:pPr>
        <w:jc w:val="right"/>
        <w:rPr>
          <w:rFonts w:ascii="Century Gothic" w:hAnsi="Century Gothic"/>
          <w:b/>
          <w:sz w:val="28"/>
          <w:szCs w:val="26"/>
          <w:u w:val="single"/>
        </w:rPr>
      </w:pPr>
      <w:r w:rsidRPr="009D3C1C">
        <w:rPr>
          <w:rFonts w:ascii="Century Gothic" w:hAnsi="Century Gothic"/>
          <w:b/>
          <w:sz w:val="28"/>
          <w:szCs w:val="26"/>
          <w:u w:val="single"/>
        </w:rPr>
        <w:t>Dakar, le 24 avril 2014</w:t>
      </w:r>
    </w:p>
    <w:p w:rsidR="00D9388D" w:rsidRDefault="00D9388D" w:rsidP="00E32340">
      <w:pPr>
        <w:jc w:val="right"/>
        <w:rPr>
          <w:rFonts w:ascii="Century Gothic" w:hAnsi="Century Gothic"/>
          <w:b/>
          <w:sz w:val="28"/>
          <w:szCs w:val="26"/>
          <w:u w:val="single"/>
        </w:rPr>
      </w:pPr>
    </w:p>
    <w:p w:rsidR="00D9388D" w:rsidRDefault="00D9388D" w:rsidP="00E32340">
      <w:pPr>
        <w:jc w:val="right"/>
        <w:rPr>
          <w:rFonts w:ascii="Century Gothic" w:hAnsi="Century Gothic"/>
          <w:b/>
          <w:sz w:val="28"/>
          <w:szCs w:val="26"/>
          <w:u w:val="single"/>
        </w:rPr>
      </w:pPr>
    </w:p>
    <w:p w:rsidR="00D9388D" w:rsidRPr="009D3C1C" w:rsidRDefault="00D9388D" w:rsidP="00E32340">
      <w:pPr>
        <w:jc w:val="right"/>
        <w:rPr>
          <w:rFonts w:ascii="Century Gothic" w:hAnsi="Century Gothic"/>
          <w:b/>
          <w:sz w:val="28"/>
          <w:szCs w:val="26"/>
        </w:rPr>
      </w:pPr>
    </w:p>
    <w:sectPr w:rsidR="00D9388D" w:rsidRPr="009D3C1C" w:rsidSect="00516281">
      <w:footerReference w:type="default" r:id="rId6"/>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3479" w:rsidRDefault="007F3479" w:rsidP="004241E2">
      <w:r>
        <w:separator/>
      </w:r>
    </w:p>
  </w:endnote>
  <w:endnote w:type="continuationSeparator" w:id="1">
    <w:p w:rsidR="007F3479" w:rsidRDefault="007F3479" w:rsidP="004241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1E2" w:rsidRDefault="004241E2">
    <w:pPr>
      <w:pStyle w:val="Pieddepage"/>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3479" w:rsidRDefault="007F3479" w:rsidP="004241E2">
      <w:r>
        <w:separator/>
      </w:r>
    </w:p>
  </w:footnote>
  <w:footnote w:type="continuationSeparator" w:id="1">
    <w:p w:rsidR="007F3479" w:rsidRDefault="007F3479" w:rsidP="004241E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footnotePr>
    <w:footnote w:id="0"/>
    <w:footnote w:id="1"/>
  </w:footnotePr>
  <w:endnotePr>
    <w:endnote w:id="0"/>
    <w:endnote w:id="1"/>
  </w:endnotePr>
  <w:compat/>
  <w:rsids>
    <w:rsidRoot w:val="00FA654B"/>
    <w:rsid w:val="000307D3"/>
    <w:rsid w:val="000B54DE"/>
    <w:rsid w:val="000B62EE"/>
    <w:rsid w:val="001C68F8"/>
    <w:rsid w:val="0025707C"/>
    <w:rsid w:val="0027260E"/>
    <w:rsid w:val="002948FA"/>
    <w:rsid w:val="002E0CD4"/>
    <w:rsid w:val="002F16B3"/>
    <w:rsid w:val="003E20F9"/>
    <w:rsid w:val="004241E2"/>
    <w:rsid w:val="00516281"/>
    <w:rsid w:val="005B691A"/>
    <w:rsid w:val="007F3479"/>
    <w:rsid w:val="0080277E"/>
    <w:rsid w:val="00850F90"/>
    <w:rsid w:val="00890DF1"/>
    <w:rsid w:val="008A0E3C"/>
    <w:rsid w:val="00923EF4"/>
    <w:rsid w:val="009D3C1C"/>
    <w:rsid w:val="00A02444"/>
    <w:rsid w:val="00B874E2"/>
    <w:rsid w:val="00BD191D"/>
    <w:rsid w:val="00C03741"/>
    <w:rsid w:val="00CB49C0"/>
    <w:rsid w:val="00CE5D82"/>
    <w:rsid w:val="00CF60E0"/>
    <w:rsid w:val="00D9388D"/>
    <w:rsid w:val="00E32340"/>
    <w:rsid w:val="00FA654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4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FA654B"/>
    <w:rPr>
      <w:i/>
      <w:iCs/>
    </w:rPr>
  </w:style>
  <w:style w:type="character" w:customStyle="1" w:styleId="apple-converted-space">
    <w:name w:val="apple-converted-space"/>
    <w:basedOn w:val="Policepardfaut"/>
    <w:rsid w:val="00FA654B"/>
  </w:style>
  <w:style w:type="paragraph" w:styleId="En-tte">
    <w:name w:val="header"/>
    <w:basedOn w:val="Normal"/>
    <w:link w:val="En-tteCar"/>
    <w:uiPriority w:val="99"/>
    <w:unhideWhenUsed/>
    <w:rsid w:val="004241E2"/>
    <w:pPr>
      <w:tabs>
        <w:tab w:val="center" w:pos="4536"/>
        <w:tab w:val="right" w:pos="9072"/>
      </w:tabs>
    </w:pPr>
  </w:style>
  <w:style w:type="character" w:customStyle="1" w:styleId="En-tteCar">
    <w:name w:val="En-tête Car"/>
    <w:basedOn w:val="Policepardfaut"/>
    <w:link w:val="En-tte"/>
    <w:uiPriority w:val="99"/>
    <w:rsid w:val="004241E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241E2"/>
    <w:pPr>
      <w:tabs>
        <w:tab w:val="center" w:pos="4536"/>
        <w:tab w:val="right" w:pos="9072"/>
      </w:tabs>
    </w:pPr>
  </w:style>
  <w:style w:type="character" w:customStyle="1" w:styleId="PieddepageCar">
    <w:name w:val="Pied de page Car"/>
    <w:basedOn w:val="Policepardfaut"/>
    <w:link w:val="Pieddepage"/>
    <w:uiPriority w:val="99"/>
    <w:rsid w:val="004241E2"/>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54B"/>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FA654B"/>
    <w:rPr>
      <w:i/>
      <w:iCs/>
    </w:rPr>
  </w:style>
  <w:style w:type="character" w:customStyle="1" w:styleId="apple-converted-space">
    <w:name w:val="apple-converted-space"/>
    <w:basedOn w:val="Policepardfaut"/>
    <w:rsid w:val="00FA654B"/>
  </w:style>
  <w:style w:type="paragraph" w:styleId="En-tte">
    <w:name w:val="header"/>
    <w:basedOn w:val="Normal"/>
    <w:link w:val="En-tteCar"/>
    <w:uiPriority w:val="99"/>
    <w:unhideWhenUsed/>
    <w:rsid w:val="004241E2"/>
    <w:pPr>
      <w:tabs>
        <w:tab w:val="center" w:pos="4536"/>
        <w:tab w:val="right" w:pos="9072"/>
      </w:tabs>
    </w:pPr>
  </w:style>
  <w:style w:type="character" w:customStyle="1" w:styleId="En-tteCar">
    <w:name w:val="En-tête Car"/>
    <w:basedOn w:val="Policepardfaut"/>
    <w:link w:val="En-tte"/>
    <w:uiPriority w:val="99"/>
    <w:rsid w:val="004241E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4241E2"/>
    <w:pPr>
      <w:tabs>
        <w:tab w:val="center" w:pos="4536"/>
        <w:tab w:val="right" w:pos="9072"/>
      </w:tabs>
    </w:pPr>
  </w:style>
  <w:style w:type="character" w:customStyle="1" w:styleId="PieddepageCar">
    <w:name w:val="Pied de page Car"/>
    <w:basedOn w:val="Policepardfaut"/>
    <w:link w:val="Pieddepage"/>
    <w:uiPriority w:val="99"/>
    <w:rsid w:val="004241E2"/>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757</Words>
  <Characters>4165</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13</cp:revision>
  <dcterms:created xsi:type="dcterms:W3CDTF">2014-04-25T18:30:00Z</dcterms:created>
  <dcterms:modified xsi:type="dcterms:W3CDTF">2014-04-25T19:37:00Z</dcterms:modified>
</cp:coreProperties>
</file>